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rPr>
          <w:rFonts w:ascii="仿宋" w:hAnsi="仿宋" w:eastAsia="仿宋"/>
          <w:sz w:val="24"/>
          <w:szCs w:val="28"/>
        </w:rPr>
      </w:pPr>
      <w:r>
        <w:rPr>
          <w:rFonts w:ascii="仿宋" w:hAnsi="仿宋" w:eastAsia="仿宋"/>
          <w:sz w:val="28"/>
          <w:szCs w:val="28"/>
        </w:rPr>
        <w:t>附件：</w:t>
      </w:r>
      <w:r>
        <w:rPr>
          <w:rFonts w:hint="eastAsia" w:ascii="仿宋" w:hAnsi="仿宋" w:eastAsia="仿宋"/>
          <w:sz w:val="28"/>
          <w:szCs w:val="28"/>
          <w:lang w:eastAsia="zh-CN"/>
        </w:rPr>
        <w:t>西药配送企业</w:t>
      </w:r>
      <w:r>
        <w:rPr>
          <w:rFonts w:ascii="仿宋" w:hAnsi="仿宋" w:eastAsia="仿宋"/>
          <w:sz w:val="28"/>
          <w:szCs w:val="28"/>
        </w:rPr>
        <w:t>遴选评分标准</w:t>
      </w:r>
    </w:p>
    <w:tbl>
      <w:tblPr>
        <w:tblStyle w:val="5"/>
        <w:tblW w:w="10115" w:type="dxa"/>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
        <w:gridCol w:w="816"/>
        <w:gridCol w:w="1093"/>
        <w:gridCol w:w="519"/>
        <w:gridCol w:w="4218"/>
        <w:gridCol w:w="2126"/>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37" w:type="dxa"/>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序号</w:t>
            </w:r>
          </w:p>
        </w:tc>
        <w:tc>
          <w:tcPr>
            <w:tcW w:w="1909" w:type="dxa"/>
            <w:gridSpan w:val="2"/>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评审因素及权重</w:t>
            </w:r>
          </w:p>
        </w:tc>
        <w:tc>
          <w:tcPr>
            <w:tcW w:w="519" w:type="dxa"/>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分值</w:t>
            </w:r>
          </w:p>
        </w:tc>
        <w:tc>
          <w:tcPr>
            <w:tcW w:w="4218" w:type="dxa"/>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评分标准</w:t>
            </w:r>
          </w:p>
        </w:tc>
        <w:tc>
          <w:tcPr>
            <w:tcW w:w="2126" w:type="dxa"/>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备注</w:t>
            </w:r>
          </w:p>
        </w:tc>
        <w:tc>
          <w:tcPr>
            <w:tcW w:w="906" w:type="dxa"/>
          </w:tcPr>
          <w:p>
            <w:pPr>
              <w:widowControl/>
              <w:rPr>
                <w:rFonts w:ascii="仿宋" w:hAnsi="仿宋" w:eastAsia="仿宋" w:cs="宋体"/>
                <w:b/>
                <w:bCs/>
                <w:color w:val="000000"/>
                <w:kern w:val="0"/>
                <w:sz w:val="22"/>
                <w:szCs w:val="22"/>
              </w:rPr>
            </w:pPr>
          </w:p>
          <w:p>
            <w:pPr>
              <w:widowControl/>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37"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816"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供货能力</w:t>
            </w:r>
          </w:p>
        </w:tc>
        <w:tc>
          <w:tcPr>
            <w:tcW w:w="1093"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药品经营范围</w:t>
            </w:r>
          </w:p>
        </w:tc>
        <w:tc>
          <w:tcPr>
            <w:tcW w:w="519"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4218"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1.以竞标人提供的药品经营类别数量进行评分，数量不低于10类得5分，等于或低于10类的，每减少一个类别，扣0.5分，扣完为止。该项目满分5分。</w:t>
            </w:r>
          </w:p>
        </w:tc>
        <w:tc>
          <w:tcPr>
            <w:tcW w:w="2126"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提供有效客观证明材料。（如药品经营许可证范围，医疗器械经营许可证范围）</w:t>
            </w:r>
          </w:p>
        </w:tc>
        <w:tc>
          <w:tcPr>
            <w:tcW w:w="906" w:type="dxa"/>
          </w:tcPr>
          <w:p>
            <w:pPr>
              <w:widowControl/>
              <w:jc w:val="center"/>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437" w:type="dxa"/>
            <w:vMerge w:val="restart"/>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816" w:type="dxa"/>
            <w:vMerge w:val="restart"/>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配送服务能力</w:t>
            </w:r>
          </w:p>
        </w:tc>
        <w:tc>
          <w:tcPr>
            <w:tcW w:w="1093" w:type="dxa"/>
            <w:vMerge w:val="restart"/>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仓储条件</w:t>
            </w:r>
          </w:p>
        </w:tc>
        <w:tc>
          <w:tcPr>
            <w:tcW w:w="519"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4218"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药品仓库面积≥1000㎡，得5分；</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≥500㎡且＜1000㎡，得4分；</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＜500㎡，得3分。</w:t>
            </w:r>
          </w:p>
        </w:tc>
        <w:tc>
          <w:tcPr>
            <w:tcW w:w="2126" w:type="dxa"/>
            <w:vMerge w:val="restart"/>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需提供相关证明材料（包含：仓储场地房产证或租赁合同、仓库库区平面图、冷藏库需提供药监局或第三方机构认证面积依据</w:t>
            </w:r>
          </w:p>
        </w:tc>
        <w:tc>
          <w:tcPr>
            <w:tcW w:w="906" w:type="dxa"/>
          </w:tcPr>
          <w:p>
            <w:pPr>
              <w:widowControl/>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437" w:type="dxa"/>
            <w:vMerge w:val="continue"/>
            <w:vAlign w:val="center"/>
          </w:tcPr>
          <w:p>
            <w:pPr>
              <w:widowControl/>
              <w:jc w:val="left"/>
              <w:rPr>
                <w:rFonts w:ascii="仿宋" w:hAnsi="仿宋" w:eastAsia="仿宋" w:cs="宋体"/>
                <w:color w:val="000000"/>
                <w:kern w:val="0"/>
                <w:sz w:val="22"/>
                <w:szCs w:val="22"/>
              </w:rPr>
            </w:pPr>
          </w:p>
        </w:tc>
        <w:tc>
          <w:tcPr>
            <w:tcW w:w="816" w:type="dxa"/>
            <w:vMerge w:val="continue"/>
            <w:vAlign w:val="center"/>
          </w:tcPr>
          <w:p>
            <w:pPr>
              <w:widowControl/>
              <w:jc w:val="left"/>
              <w:rPr>
                <w:rFonts w:ascii="仿宋" w:hAnsi="仿宋" w:eastAsia="仿宋" w:cs="宋体"/>
                <w:color w:val="000000"/>
                <w:kern w:val="0"/>
                <w:sz w:val="22"/>
                <w:szCs w:val="22"/>
              </w:rPr>
            </w:pPr>
          </w:p>
        </w:tc>
        <w:tc>
          <w:tcPr>
            <w:tcW w:w="1093" w:type="dxa"/>
            <w:vMerge w:val="continue"/>
            <w:vAlign w:val="center"/>
          </w:tcPr>
          <w:p>
            <w:pPr>
              <w:widowControl/>
              <w:jc w:val="left"/>
              <w:rPr>
                <w:rFonts w:ascii="仿宋" w:hAnsi="仿宋" w:eastAsia="仿宋" w:cs="宋体"/>
                <w:color w:val="000000"/>
                <w:kern w:val="0"/>
                <w:sz w:val="22"/>
                <w:szCs w:val="22"/>
              </w:rPr>
            </w:pPr>
          </w:p>
        </w:tc>
        <w:tc>
          <w:tcPr>
            <w:tcW w:w="519"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4218"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冷库体积≥50m</w:t>
            </w:r>
            <w:r>
              <w:rPr>
                <w:rFonts w:ascii="Calibri" w:hAnsi="Calibri" w:eastAsia="仿宋" w:cs="Calibri"/>
                <w:color w:val="000000"/>
                <w:kern w:val="0"/>
                <w:sz w:val="22"/>
                <w:szCs w:val="22"/>
              </w:rPr>
              <w:t>³</w:t>
            </w:r>
            <w:r>
              <w:rPr>
                <w:rFonts w:hint="eastAsia" w:ascii="仿宋" w:hAnsi="仿宋" w:eastAsia="仿宋" w:cs="仿宋"/>
                <w:color w:val="000000"/>
                <w:kern w:val="0"/>
                <w:sz w:val="22"/>
                <w:szCs w:val="22"/>
              </w:rPr>
              <w:t>，得</w:t>
            </w:r>
            <w:r>
              <w:rPr>
                <w:rFonts w:hint="eastAsia" w:ascii="仿宋" w:hAnsi="仿宋" w:eastAsia="仿宋" w:cs="宋体"/>
                <w:color w:val="000000"/>
                <w:kern w:val="0"/>
                <w:sz w:val="22"/>
                <w:szCs w:val="22"/>
              </w:rPr>
              <w:t>5分；</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≥30m</w:t>
            </w:r>
            <w:r>
              <w:rPr>
                <w:rFonts w:ascii="Calibri" w:hAnsi="Calibri" w:eastAsia="仿宋" w:cs="Calibri"/>
                <w:color w:val="000000"/>
                <w:kern w:val="0"/>
                <w:sz w:val="22"/>
                <w:szCs w:val="22"/>
              </w:rPr>
              <w:t>³</w:t>
            </w:r>
            <w:r>
              <w:rPr>
                <w:rFonts w:hint="eastAsia" w:ascii="仿宋" w:hAnsi="仿宋" w:eastAsia="仿宋" w:cs="仿宋"/>
                <w:color w:val="000000"/>
                <w:kern w:val="0"/>
                <w:sz w:val="22"/>
                <w:szCs w:val="22"/>
              </w:rPr>
              <w:t>且＜</w:t>
            </w:r>
            <w:r>
              <w:rPr>
                <w:rFonts w:hint="eastAsia" w:ascii="仿宋" w:hAnsi="仿宋" w:eastAsia="仿宋" w:cs="宋体"/>
                <w:color w:val="000000"/>
                <w:kern w:val="0"/>
                <w:sz w:val="22"/>
                <w:szCs w:val="22"/>
              </w:rPr>
              <w:t>50m</w:t>
            </w:r>
            <w:r>
              <w:rPr>
                <w:rFonts w:ascii="Calibri" w:hAnsi="Calibri" w:eastAsia="仿宋" w:cs="Calibri"/>
                <w:color w:val="000000"/>
                <w:kern w:val="0"/>
                <w:sz w:val="22"/>
                <w:szCs w:val="22"/>
              </w:rPr>
              <w:t>³</w:t>
            </w:r>
            <w:r>
              <w:rPr>
                <w:rFonts w:hint="eastAsia" w:ascii="仿宋" w:hAnsi="仿宋" w:eastAsia="仿宋" w:cs="仿宋"/>
                <w:color w:val="000000"/>
                <w:kern w:val="0"/>
                <w:sz w:val="22"/>
                <w:szCs w:val="22"/>
              </w:rPr>
              <w:t>，得</w:t>
            </w:r>
            <w:r>
              <w:rPr>
                <w:rFonts w:hint="eastAsia" w:ascii="仿宋" w:hAnsi="仿宋" w:eastAsia="仿宋" w:cs="宋体"/>
                <w:color w:val="000000"/>
                <w:kern w:val="0"/>
                <w:sz w:val="22"/>
                <w:szCs w:val="22"/>
              </w:rPr>
              <w:t>4分；</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＜30m</w:t>
            </w:r>
            <w:r>
              <w:rPr>
                <w:rFonts w:ascii="Calibri" w:hAnsi="Calibri" w:eastAsia="仿宋" w:cs="Calibri"/>
                <w:color w:val="000000"/>
                <w:kern w:val="0"/>
                <w:sz w:val="22"/>
                <w:szCs w:val="22"/>
              </w:rPr>
              <w:t>³</w:t>
            </w:r>
            <w:r>
              <w:rPr>
                <w:rFonts w:hint="eastAsia" w:ascii="仿宋" w:hAnsi="仿宋" w:eastAsia="仿宋" w:cs="仿宋"/>
                <w:color w:val="000000"/>
                <w:kern w:val="0"/>
                <w:sz w:val="22"/>
                <w:szCs w:val="22"/>
              </w:rPr>
              <w:t>，得</w:t>
            </w:r>
            <w:r>
              <w:rPr>
                <w:rFonts w:hint="eastAsia" w:ascii="仿宋" w:hAnsi="仿宋" w:eastAsia="仿宋" w:cs="宋体"/>
                <w:color w:val="000000"/>
                <w:kern w:val="0"/>
                <w:sz w:val="22"/>
                <w:szCs w:val="22"/>
              </w:rPr>
              <w:t>3分。</w:t>
            </w:r>
          </w:p>
        </w:tc>
        <w:tc>
          <w:tcPr>
            <w:tcW w:w="2126" w:type="dxa"/>
            <w:vMerge w:val="continue"/>
            <w:vAlign w:val="center"/>
          </w:tcPr>
          <w:p>
            <w:pPr>
              <w:widowControl/>
              <w:jc w:val="left"/>
              <w:rPr>
                <w:rFonts w:ascii="仿宋" w:hAnsi="仿宋" w:eastAsia="仿宋" w:cs="宋体"/>
                <w:color w:val="000000"/>
                <w:kern w:val="0"/>
                <w:sz w:val="22"/>
                <w:szCs w:val="22"/>
              </w:rPr>
            </w:pPr>
          </w:p>
        </w:tc>
        <w:tc>
          <w:tcPr>
            <w:tcW w:w="906" w:type="dxa"/>
          </w:tcPr>
          <w:p>
            <w:pPr>
              <w:widowControl/>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37" w:type="dxa"/>
            <w:vMerge w:val="continue"/>
            <w:vAlign w:val="center"/>
          </w:tcPr>
          <w:p>
            <w:pPr>
              <w:widowControl/>
              <w:jc w:val="left"/>
              <w:rPr>
                <w:rFonts w:ascii="仿宋" w:hAnsi="仿宋" w:eastAsia="仿宋" w:cs="宋体"/>
                <w:color w:val="000000"/>
                <w:kern w:val="0"/>
                <w:sz w:val="22"/>
                <w:szCs w:val="22"/>
              </w:rPr>
            </w:pPr>
          </w:p>
        </w:tc>
        <w:tc>
          <w:tcPr>
            <w:tcW w:w="816" w:type="dxa"/>
            <w:vMerge w:val="continue"/>
            <w:vAlign w:val="center"/>
          </w:tcPr>
          <w:p>
            <w:pPr>
              <w:widowControl/>
              <w:jc w:val="left"/>
              <w:rPr>
                <w:rFonts w:ascii="仿宋" w:hAnsi="仿宋" w:eastAsia="仿宋" w:cs="宋体"/>
                <w:color w:val="000000"/>
                <w:kern w:val="0"/>
                <w:sz w:val="22"/>
                <w:szCs w:val="22"/>
              </w:rPr>
            </w:pPr>
          </w:p>
        </w:tc>
        <w:tc>
          <w:tcPr>
            <w:tcW w:w="1093" w:type="dxa"/>
            <w:vMerge w:val="restart"/>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运输条件</w:t>
            </w:r>
          </w:p>
        </w:tc>
        <w:tc>
          <w:tcPr>
            <w:tcW w:w="519"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6</w:t>
            </w:r>
          </w:p>
        </w:tc>
        <w:tc>
          <w:tcPr>
            <w:tcW w:w="4218"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为本项目投入常规运输车辆有5辆得2分，每增加一辆加0.5分，最多加2分；投入常规运输车辆5辆及以上且为自有的再加2分。本项最高得6分。</w:t>
            </w:r>
          </w:p>
        </w:tc>
        <w:tc>
          <w:tcPr>
            <w:tcW w:w="2126" w:type="dxa"/>
            <w:vMerge w:val="restart"/>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提供常规运输车辆行驶证复印件、发票复印件、车辆租赁合同及租赁车辆行驶证，未提供或未达到要求的不得分.</w:t>
            </w:r>
          </w:p>
        </w:tc>
        <w:tc>
          <w:tcPr>
            <w:tcW w:w="906" w:type="dxa"/>
          </w:tcPr>
          <w:p>
            <w:pPr>
              <w:widowControl/>
              <w:jc w:val="center"/>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37" w:type="dxa"/>
            <w:vMerge w:val="continue"/>
            <w:vAlign w:val="center"/>
          </w:tcPr>
          <w:p>
            <w:pPr>
              <w:widowControl/>
              <w:jc w:val="left"/>
              <w:rPr>
                <w:rFonts w:ascii="仿宋" w:hAnsi="仿宋" w:eastAsia="仿宋" w:cs="宋体"/>
                <w:color w:val="000000"/>
                <w:kern w:val="0"/>
                <w:sz w:val="22"/>
                <w:szCs w:val="22"/>
              </w:rPr>
            </w:pPr>
          </w:p>
        </w:tc>
        <w:tc>
          <w:tcPr>
            <w:tcW w:w="816" w:type="dxa"/>
            <w:vMerge w:val="continue"/>
            <w:vAlign w:val="center"/>
          </w:tcPr>
          <w:p>
            <w:pPr>
              <w:widowControl/>
              <w:jc w:val="left"/>
              <w:rPr>
                <w:rFonts w:ascii="仿宋" w:hAnsi="仿宋" w:eastAsia="仿宋" w:cs="宋体"/>
                <w:color w:val="000000"/>
                <w:kern w:val="0"/>
                <w:sz w:val="22"/>
                <w:szCs w:val="22"/>
              </w:rPr>
            </w:pPr>
          </w:p>
        </w:tc>
        <w:tc>
          <w:tcPr>
            <w:tcW w:w="1093" w:type="dxa"/>
            <w:vMerge w:val="continue"/>
            <w:vAlign w:val="center"/>
          </w:tcPr>
          <w:p>
            <w:pPr>
              <w:widowControl/>
              <w:jc w:val="left"/>
              <w:rPr>
                <w:rFonts w:ascii="仿宋" w:hAnsi="仿宋" w:eastAsia="仿宋" w:cs="宋体"/>
                <w:color w:val="000000"/>
                <w:kern w:val="0"/>
                <w:sz w:val="22"/>
                <w:szCs w:val="22"/>
              </w:rPr>
            </w:pPr>
          </w:p>
        </w:tc>
        <w:tc>
          <w:tcPr>
            <w:tcW w:w="519"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4218"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为本项目投入冷藏运输车辆有1辆得4分，投入冷藏运输车辆1辆及以上为自有的再加1分，最高得5分。</w:t>
            </w:r>
          </w:p>
        </w:tc>
        <w:tc>
          <w:tcPr>
            <w:tcW w:w="2126" w:type="dxa"/>
            <w:vMerge w:val="continue"/>
            <w:vAlign w:val="center"/>
          </w:tcPr>
          <w:p>
            <w:pPr>
              <w:widowControl/>
              <w:jc w:val="left"/>
              <w:rPr>
                <w:rFonts w:ascii="仿宋" w:hAnsi="仿宋" w:eastAsia="仿宋" w:cs="宋体"/>
                <w:color w:val="000000"/>
                <w:kern w:val="0"/>
                <w:sz w:val="22"/>
                <w:szCs w:val="22"/>
              </w:rPr>
            </w:pPr>
          </w:p>
        </w:tc>
        <w:tc>
          <w:tcPr>
            <w:tcW w:w="906" w:type="dxa"/>
          </w:tcPr>
          <w:p>
            <w:pPr>
              <w:widowControl/>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437" w:type="dxa"/>
            <w:vMerge w:val="continue"/>
            <w:vAlign w:val="center"/>
          </w:tcPr>
          <w:p>
            <w:pPr>
              <w:widowControl/>
              <w:jc w:val="left"/>
              <w:rPr>
                <w:rFonts w:ascii="仿宋" w:hAnsi="仿宋" w:eastAsia="仿宋" w:cs="宋体"/>
                <w:color w:val="000000"/>
                <w:kern w:val="0"/>
                <w:sz w:val="22"/>
                <w:szCs w:val="22"/>
              </w:rPr>
            </w:pPr>
          </w:p>
        </w:tc>
        <w:tc>
          <w:tcPr>
            <w:tcW w:w="816" w:type="dxa"/>
            <w:vMerge w:val="continue"/>
            <w:vAlign w:val="center"/>
          </w:tcPr>
          <w:p>
            <w:pPr>
              <w:widowControl/>
              <w:jc w:val="left"/>
              <w:rPr>
                <w:rFonts w:ascii="仿宋" w:hAnsi="仿宋" w:eastAsia="仿宋" w:cs="宋体"/>
                <w:color w:val="000000"/>
                <w:kern w:val="0"/>
                <w:sz w:val="22"/>
                <w:szCs w:val="22"/>
              </w:rPr>
            </w:pPr>
          </w:p>
        </w:tc>
        <w:tc>
          <w:tcPr>
            <w:tcW w:w="1093"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信息管理</w:t>
            </w:r>
          </w:p>
        </w:tc>
        <w:tc>
          <w:tcPr>
            <w:tcW w:w="519"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6</w:t>
            </w:r>
          </w:p>
        </w:tc>
        <w:tc>
          <w:tcPr>
            <w:tcW w:w="4218"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根据竞标人是否具有独立的计算机管理信息系统（至少包含能否覆盖所有药品的购进、储存、销售以及经营和质量控制的全过程等）进行评价，每缺失一方面扣1分，扣完为止。</w:t>
            </w:r>
          </w:p>
        </w:tc>
        <w:tc>
          <w:tcPr>
            <w:tcW w:w="2126"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提供信息系统各对应模块截图。</w:t>
            </w:r>
          </w:p>
        </w:tc>
        <w:tc>
          <w:tcPr>
            <w:tcW w:w="906" w:type="dxa"/>
          </w:tcPr>
          <w:p>
            <w:pPr>
              <w:widowControl/>
              <w:jc w:val="center"/>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37" w:type="dxa"/>
            <w:vMerge w:val="continue"/>
            <w:vAlign w:val="center"/>
          </w:tcPr>
          <w:p>
            <w:pPr>
              <w:widowControl/>
              <w:jc w:val="left"/>
              <w:rPr>
                <w:rFonts w:ascii="仿宋" w:hAnsi="仿宋" w:eastAsia="仿宋" w:cs="宋体"/>
                <w:color w:val="000000"/>
                <w:kern w:val="0"/>
                <w:sz w:val="22"/>
                <w:szCs w:val="22"/>
              </w:rPr>
            </w:pPr>
          </w:p>
        </w:tc>
        <w:tc>
          <w:tcPr>
            <w:tcW w:w="816" w:type="dxa"/>
            <w:vMerge w:val="continue"/>
            <w:vAlign w:val="center"/>
          </w:tcPr>
          <w:p>
            <w:pPr>
              <w:widowControl/>
              <w:jc w:val="left"/>
              <w:rPr>
                <w:rFonts w:ascii="仿宋" w:hAnsi="仿宋" w:eastAsia="仿宋" w:cs="宋体"/>
                <w:color w:val="000000"/>
                <w:kern w:val="0"/>
                <w:sz w:val="22"/>
                <w:szCs w:val="22"/>
              </w:rPr>
            </w:pPr>
          </w:p>
        </w:tc>
        <w:tc>
          <w:tcPr>
            <w:tcW w:w="1093"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人员配置</w:t>
            </w:r>
          </w:p>
        </w:tc>
        <w:tc>
          <w:tcPr>
            <w:tcW w:w="519"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4218"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项目负责人1人是执业药师得2分；</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其他项目人员：每增加一名配备执业药师服务人员得0.5分，本项最多得5分。</w:t>
            </w:r>
          </w:p>
        </w:tc>
        <w:tc>
          <w:tcPr>
            <w:tcW w:w="2126"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提供执业药师资格证复印件及注册证复印件</w:t>
            </w:r>
          </w:p>
        </w:tc>
        <w:tc>
          <w:tcPr>
            <w:tcW w:w="906" w:type="dxa"/>
          </w:tcPr>
          <w:p>
            <w:pPr>
              <w:widowControl/>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437"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　</w:t>
            </w:r>
          </w:p>
        </w:tc>
        <w:tc>
          <w:tcPr>
            <w:tcW w:w="816" w:type="dxa"/>
            <w:vMerge w:val="restart"/>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配送服务方案</w:t>
            </w:r>
          </w:p>
        </w:tc>
        <w:tc>
          <w:tcPr>
            <w:tcW w:w="1093"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配送服务方案</w:t>
            </w:r>
          </w:p>
        </w:tc>
        <w:tc>
          <w:tcPr>
            <w:tcW w:w="519"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25</w:t>
            </w:r>
          </w:p>
        </w:tc>
        <w:tc>
          <w:tcPr>
            <w:tcW w:w="4218"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根据竞标人对招标人的实际采购需求针制定有针对性的服务方案进行评分。方案包含但不限于（1）符合招标人药品采购、验收要求;（2）配送流程;（3）退换方案;（4）防控商业贿赂计划;（5）实施或监督所供货品的现场搬运或入库的措施;（6）能否拆零配送等内容。方案内容合理、可行、完整，得25分；每缺少一项内容，或有一项内容不合理、不可行、不完整，扣3分，扣完为止。</w:t>
            </w:r>
          </w:p>
        </w:tc>
        <w:tc>
          <w:tcPr>
            <w:tcW w:w="2126"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格式自拟</w:t>
            </w:r>
          </w:p>
        </w:tc>
        <w:tc>
          <w:tcPr>
            <w:tcW w:w="906" w:type="dxa"/>
          </w:tcPr>
          <w:p>
            <w:pPr>
              <w:widowControl/>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437"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816" w:type="dxa"/>
            <w:vMerge w:val="continue"/>
            <w:vAlign w:val="center"/>
          </w:tcPr>
          <w:p>
            <w:pPr>
              <w:widowControl/>
              <w:jc w:val="left"/>
              <w:rPr>
                <w:rFonts w:ascii="仿宋" w:hAnsi="仿宋" w:eastAsia="仿宋" w:cs="宋体"/>
                <w:color w:val="000000"/>
                <w:kern w:val="0"/>
                <w:sz w:val="22"/>
                <w:szCs w:val="22"/>
              </w:rPr>
            </w:pPr>
          </w:p>
        </w:tc>
        <w:tc>
          <w:tcPr>
            <w:tcW w:w="1093"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应急保障方案</w:t>
            </w:r>
          </w:p>
        </w:tc>
        <w:tc>
          <w:tcPr>
            <w:tcW w:w="519"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15</w:t>
            </w:r>
          </w:p>
        </w:tc>
        <w:tc>
          <w:tcPr>
            <w:tcW w:w="4218"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根据投标文件中的应急措施进行评分：应急措施包括但不限于：（1）应急配送响应时间（2）突发事件和安全应急预案（3）物资调配方案等全部内容，且内容合理可行得15分，每缺少一项内容，或有一项内容不合理可行扣3分，扣完为止。</w:t>
            </w:r>
          </w:p>
        </w:tc>
        <w:tc>
          <w:tcPr>
            <w:tcW w:w="2126"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格式自拟</w:t>
            </w:r>
          </w:p>
        </w:tc>
        <w:tc>
          <w:tcPr>
            <w:tcW w:w="906" w:type="dxa"/>
          </w:tcPr>
          <w:p>
            <w:pPr>
              <w:widowControl/>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37"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816"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类似配送服务业绩</w:t>
            </w:r>
          </w:p>
        </w:tc>
        <w:tc>
          <w:tcPr>
            <w:tcW w:w="1093"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药品配送业绩</w:t>
            </w:r>
          </w:p>
        </w:tc>
        <w:tc>
          <w:tcPr>
            <w:tcW w:w="519"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10</w:t>
            </w:r>
          </w:p>
        </w:tc>
        <w:tc>
          <w:tcPr>
            <w:tcW w:w="4218"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需提供2019年至比选截止日，签署正在实施配送二级及以上医院的服务经验，每一个得2分，最多的得10分。</w:t>
            </w:r>
          </w:p>
        </w:tc>
        <w:tc>
          <w:tcPr>
            <w:tcW w:w="2126"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需提供购销合同或购销发票复印件</w:t>
            </w:r>
          </w:p>
        </w:tc>
        <w:tc>
          <w:tcPr>
            <w:tcW w:w="906" w:type="dxa"/>
          </w:tcPr>
          <w:p>
            <w:pPr>
              <w:widowControl/>
              <w:jc w:val="center"/>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37"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1909" w:type="dxa"/>
            <w:gridSpan w:val="2"/>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配送服务时效性承诺</w:t>
            </w:r>
          </w:p>
        </w:tc>
        <w:tc>
          <w:tcPr>
            <w:tcW w:w="519"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10</w:t>
            </w:r>
          </w:p>
        </w:tc>
        <w:tc>
          <w:tcPr>
            <w:tcW w:w="4218"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配送服务承诺：急抢救类应急配送应在接到通知后2小时内配送到指定地点；非急抢救类应急配送在接到通知后24小时内配送到指定地点；全天候无差别配送至指定地点（7天*24小时*365天）要求节假日企业有人值班并配送。</w:t>
            </w:r>
          </w:p>
        </w:tc>
        <w:tc>
          <w:tcPr>
            <w:tcW w:w="2126"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需提供相关承诺函</w:t>
            </w:r>
          </w:p>
        </w:tc>
        <w:tc>
          <w:tcPr>
            <w:tcW w:w="906" w:type="dxa"/>
          </w:tcPr>
          <w:p>
            <w:pPr>
              <w:widowControl/>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37" w:type="dxa"/>
            <w:vMerge w:val="restart"/>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6</w:t>
            </w:r>
          </w:p>
        </w:tc>
        <w:tc>
          <w:tcPr>
            <w:tcW w:w="1909" w:type="dxa"/>
            <w:gridSpan w:val="2"/>
            <w:vMerge w:val="restart"/>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企业荣誉</w:t>
            </w:r>
          </w:p>
        </w:tc>
        <w:tc>
          <w:tcPr>
            <w:tcW w:w="519"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4218"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供应商获得行政主管部门颁发的荣誉证书或疫情期间为卫生系统提供捐赠认定文件的得1 分。最高得 1 分。</w:t>
            </w:r>
          </w:p>
        </w:tc>
        <w:tc>
          <w:tcPr>
            <w:tcW w:w="2126"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提供客观有效证明文件复印件。</w:t>
            </w:r>
          </w:p>
        </w:tc>
        <w:tc>
          <w:tcPr>
            <w:tcW w:w="906" w:type="dxa"/>
          </w:tcPr>
          <w:p>
            <w:pPr>
              <w:widowControl/>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37" w:type="dxa"/>
            <w:vMerge w:val="continue"/>
            <w:vAlign w:val="center"/>
          </w:tcPr>
          <w:p>
            <w:pPr>
              <w:widowControl/>
              <w:jc w:val="left"/>
              <w:rPr>
                <w:rFonts w:ascii="仿宋" w:hAnsi="仿宋" w:eastAsia="仿宋" w:cs="宋体"/>
                <w:color w:val="000000"/>
                <w:kern w:val="0"/>
                <w:sz w:val="22"/>
                <w:szCs w:val="22"/>
              </w:rPr>
            </w:pPr>
          </w:p>
        </w:tc>
        <w:tc>
          <w:tcPr>
            <w:tcW w:w="1909" w:type="dxa"/>
            <w:gridSpan w:val="2"/>
            <w:vMerge w:val="continue"/>
            <w:vAlign w:val="center"/>
          </w:tcPr>
          <w:p>
            <w:pPr>
              <w:widowControl/>
              <w:jc w:val="left"/>
              <w:rPr>
                <w:rFonts w:ascii="仿宋" w:hAnsi="仿宋" w:eastAsia="仿宋" w:cs="宋体"/>
                <w:color w:val="000000"/>
                <w:kern w:val="0"/>
                <w:sz w:val="22"/>
                <w:szCs w:val="22"/>
              </w:rPr>
            </w:pPr>
          </w:p>
        </w:tc>
        <w:tc>
          <w:tcPr>
            <w:tcW w:w="519"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4218"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连续3年及以上纳税信用A级，得1分，小于3年不得分。</w:t>
            </w:r>
          </w:p>
        </w:tc>
        <w:tc>
          <w:tcPr>
            <w:tcW w:w="2126"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提供客观有效证明文件复印件。</w:t>
            </w:r>
          </w:p>
        </w:tc>
        <w:tc>
          <w:tcPr>
            <w:tcW w:w="906" w:type="dxa"/>
          </w:tcPr>
          <w:p>
            <w:pPr>
              <w:widowControl/>
              <w:jc w:val="left"/>
              <w:rPr>
                <w:rFonts w:ascii="仿宋" w:hAnsi="仿宋" w:eastAsia="仿宋"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37"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7</w:t>
            </w:r>
          </w:p>
        </w:tc>
        <w:tc>
          <w:tcPr>
            <w:tcW w:w="1909" w:type="dxa"/>
            <w:gridSpan w:val="2"/>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文件规范性</w:t>
            </w:r>
          </w:p>
        </w:tc>
        <w:tc>
          <w:tcPr>
            <w:tcW w:w="519" w:type="dxa"/>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4218"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比选申请文件制作规范，没有细微偏差情形的得1分；有一项细微偏差扣0.5分，直至该项分值扣完为止。</w:t>
            </w:r>
          </w:p>
        </w:tc>
        <w:tc>
          <w:tcPr>
            <w:tcW w:w="2126" w:type="dxa"/>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审核相关资料</w:t>
            </w:r>
          </w:p>
        </w:tc>
        <w:tc>
          <w:tcPr>
            <w:tcW w:w="906" w:type="dxa"/>
          </w:tcPr>
          <w:p>
            <w:pPr>
              <w:widowControl/>
              <w:jc w:val="left"/>
              <w:rPr>
                <w:rFonts w:ascii="仿宋" w:hAnsi="仿宋" w:eastAsia="仿宋" w:cs="宋体"/>
                <w:color w:val="000000"/>
                <w:kern w:val="0"/>
                <w:sz w:val="22"/>
                <w:szCs w:val="22"/>
              </w:rPr>
            </w:pPr>
          </w:p>
        </w:tc>
      </w:tr>
    </w:tbl>
    <w:p>
      <w:pPr>
        <w:rPr>
          <w:rFonts w:ascii="仿宋_GB2312" w:hAnsi="仿宋" w:eastAsia="仿宋_GB2312"/>
          <w:sz w:val="24"/>
          <w:szCs w:val="30"/>
        </w:rPr>
      </w:pPr>
    </w:p>
    <w:p>
      <w:pPr>
        <w:rPr>
          <w:rFonts w:ascii="仿宋_GB2312" w:hAnsi="仿宋" w:eastAsia="仿宋_GB2312"/>
          <w:sz w:val="28"/>
          <w:szCs w:val="30"/>
        </w:rPr>
      </w:pPr>
    </w:p>
    <w:p>
      <w:bookmarkStart w:id="0" w:name="_GoBack"/>
      <w:bookmarkEnd w:id="0"/>
    </w:p>
    <w:sectPr>
      <w:pgSz w:w="11906" w:h="16838"/>
      <w:pgMar w:top="1440" w:right="1274" w:bottom="1276" w:left="1800" w:header="1020" w:footer="40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5280"/>
    <w:rsid w:val="00044065"/>
    <w:rsid w:val="00234338"/>
    <w:rsid w:val="00364AF9"/>
    <w:rsid w:val="004C4CED"/>
    <w:rsid w:val="004C795F"/>
    <w:rsid w:val="00675E73"/>
    <w:rsid w:val="006F60D9"/>
    <w:rsid w:val="00703857"/>
    <w:rsid w:val="00920296"/>
    <w:rsid w:val="00A53EE7"/>
    <w:rsid w:val="00BA0C6E"/>
    <w:rsid w:val="00CD5280"/>
    <w:rsid w:val="00D47E69"/>
    <w:rsid w:val="00FB2C9D"/>
    <w:rsid w:val="09B92CE1"/>
    <w:rsid w:val="11C47E3F"/>
    <w:rsid w:val="1BEF3737"/>
    <w:rsid w:val="1D853B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7"/>
    <w:qFormat/>
    <w:uiPriority w:val="0"/>
    <w:pPr>
      <w:spacing w:before="100" w:beforeAutospacing="1" w:after="100" w:afterAutospacing="1"/>
      <w:jc w:val="left"/>
      <w:outlineLvl w:val="1"/>
    </w:pPr>
    <w:rPr>
      <w:rFonts w:ascii="宋体" w:hAnsi="宋体"/>
      <w:b/>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uiPriority w:val="0"/>
    <w:rPr>
      <w:rFonts w:ascii="宋体" w:hAnsi="宋体" w:eastAsia="宋体" w:cs="Times New Roman"/>
      <w:b/>
      <w:kern w:val="0"/>
      <w:sz w:val="36"/>
      <w:szCs w:val="36"/>
    </w:rPr>
  </w:style>
  <w:style w:type="character" w:customStyle="1" w:styleId="8">
    <w:name w:val="页眉 Char"/>
    <w:basedOn w:val="6"/>
    <w:link w:val="4"/>
    <w:semiHidden/>
    <w:uiPriority w:val="99"/>
    <w:rPr>
      <w:rFonts w:ascii="Times New Roman" w:hAnsi="Times New Roman" w:eastAsia="宋体" w:cs="Times New Roman"/>
      <w:kern w:val="2"/>
      <w:sz w:val="18"/>
      <w:szCs w:val="18"/>
    </w:rPr>
  </w:style>
  <w:style w:type="character" w:customStyle="1" w:styleId="9">
    <w:name w:val="页脚 Char"/>
    <w:basedOn w:val="6"/>
    <w:link w:val="3"/>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225</Words>
  <Characters>1285</Characters>
  <Lines>10</Lines>
  <Paragraphs>3</Paragraphs>
  <TotalTime>78</TotalTime>
  <ScaleCrop>false</ScaleCrop>
  <LinksUpToDate>false</LinksUpToDate>
  <CharactersWithSpaces>1507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2021-01-12T02:21:00Z</dcterms:created>
  <dc:creator>AutoBVT</dc:creator>
  <cp:lastModifiedBy>李坤鹏</cp:lastModifiedBy>
  <dcterms:modified xsi:type="dcterms:W3CDTF">2021-07-21T03:28:05Z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3C7C05F4865743109427A5773F3C865F</vt:lpwstr>
  </property>
</Properties>
</file>